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62"/>
      </w:tblGrid>
      <w:tr w:rsidR="0016774C" w:rsidRPr="0016774C" w:rsidTr="0016774C">
        <w:trPr>
          <w:tblCellSpacing w:w="15" w:type="dxa"/>
        </w:trPr>
        <w:tc>
          <w:tcPr>
            <w:tcW w:w="1900" w:type="pct"/>
            <w:vAlign w:val="center"/>
            <w:hideMark/>
          </w:tcPr>
          <w:p w:rsidR="0016774C" w:rsidRPr="0016774C" w:rsidRDefault="0016774C" w:rsidP="0016774C">
            <w:pPr>
              <w:spacing w:before="100" w:beforeAutospacing="1" w:after="100" w:afterAutospacing="1" w:line="240" w:lineRule="auto"/>
              <w:jc w:val="center"/>
              <w:outlineLvl w:val="2"/>
              <w:rPr>
                <w:rFonts w:ascii="Times New Roman" w:eastAsia="Times New Roman" w:hAnsi="Times New Roman" w:cs="Times New Roman"/>
                <w:b/>
                <w:bCs/>
                <w:sz w:val="27"/>
                <w:szCs w:val="27"/>
                <w:lang w:eastAsia="fr-BE"/>
              </w:rPr>
            </w:pPr>
            <w:r>
              <w:rPr>
                <w:rFonts w:ascii="Times New Roman" w:eastAsia="Times New Roman" w:hAnsi="Times New Roman" w:cs="Times New Roman"/>
                <w:b/>
                <w:bCs/>
                <w:color w:val="FF0000"/>
                <w:sz w:val="27"/>
                <w:szCs w:val="27"/>
                <w:lang w:eastAsia="fr-BE"/>
              </w:rPr>
              <w:t>P</w:t>
            </w:r>
            <w:r w:rsidRPr="0016774C">
              <w:rPr>
                <w:rFonts w:ascii="Times New Roman" w:eastAsia="Times New Roman" w:hAnsi="Times New Roman" w:cs="Times New Roman"/>
                <w:b/>
                <w:bCs/>
                <w:color w:val="FF0000"/>
                <w:sz w:val="27"/>
                <w:szCs w:val="27"/>
                <w:lang w:eastAsia="fr-BE"/>
              </w:rPr>
              <w:t>ublié le : 2009-10-21</w:t>
            </w:r>
          </w:p>
        </w:tc>
      </w:tr>
    </w:tbl>
    <w:p w:rsidR="0016774C" w:rsidRPr="0016774C" w:rsidRDefault="0016774C" w:rsidP="0016774C">
      <w:pPr>
        <w:spacing w:after="0" w:line="240" w:lineRule="auto"/>
        <w:jc w:val="center"/>
        <w:rPr>
          <w:rFonts w:ascii="Times New Roman" w:eastAsia="Times New Roman" w:hAnsi="Times New Roman" w:cs="Times New Roman"/>
          <w:vanish/>
          <w:sz w:val="24"/>
          <w:szCs w:val="24"/>
          <w:lang w:eastAsia="fr-BE"/>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9162"/>
      </w:tblGrid>
      <w:tr w:rsidR="0016774C" w:rsidRPr="0016774C" w:rsidTr="0016774C">
        <w:trPr>
          <w:tblCellSpacing w:w="15" w:type="dxa"/>
          <w:jc w:val="center"/>
        </w:trPr>
        <w:tc>
          <w:tcPr>
            <w:tcW w:w="5000" w:type="pct"/>
            <w:vAlign w:val="center"/>
            <w:hideMark/>
          </w:tcPr>
          <w:p w:rsidR="0016774C" w:rsidRPr="0016774C" w:rsidRDefault="0016774C" w:rsidP="0016774C">
            <w:pPr>
              <w:spacing w:after="0" w:line="240" w:lineRule="auto"/>
              <w:jc w:val="center"/>
              <w:rPr>
                <w:rFonts w:ascii="Times New Roman" w:eastAsia="Times New Roman" w:hAnsi="Times New Roman" w:cs="Times New Roman"/>
                <w:sz w:val="24"/>
                <w:szCs w:val="24"/>
                <w:lang w:eastAsia="fr-BE"/>
              </w:rPr>
            </w:pPr>
            <w:r w:rsidRPr="0016774C">
              <w:rPr>
                <w:rFonts w:ascii="Times New Roman" w:eastAsia="Times New Roman" w:hAnsi="Times New Roman" w:cs="Times New Roman"/>
                <w:sz w:val="24"/>
                <w:szCs w:val="24"/>
                <w:lang w:eastAsia="fr-BE"/>
              </w:rPr>
              <w:t xml:space="preserve">SERVICE PUBLIC FEDERAL SANTE PUBLIQUE, SECURITE DE LA CHAINE ALIMENTAIRE ET ENVIRONNEMENT </w:t>
            </w:r>
          </w:p>
        </w:tc>
      </w:tr>
    </w:tbl>
    <w:p w:rsidR="0016774C" w:rsidRPr="0016774C" w:rsidRDefault="0016774C" w:rsidP="0016774C">
      <w:pPr>
        <w:spacing w:before="100" w:beforeAutospacing="1" w:after="100" w:afterAutospacing="1" w:line="240" w:lineRule="auto"/>
        <w:jc w:val="center"/>
        <w:outlineLvl w:val="2"/>
        <w:rPr>
          <w:rFonts w:ascii="Times New Roman" w:eastAsia="Times New Roman" w:hAnsi="Times New Roman" w:cs="Times New Roman"/>
          <w:b/>
          <w:bCs/>
          <w:sz w:val="27"/>
          <w:szCs w:val="27"/>
          <w:lang w:eastAsia="fr-BE"/>
        </w:rPr>
      </w:pPr>
      <w:r w:rsidRPr="0016774C">
        <w:rPr>
          <w:rFonts w:ascii="Times New Roman" w:eastAsia="Times New Roman" w:hAnsi="Times New Roman" w:cs="Times New Roman"/>
          <w:b/>
          <w:bCs/>
          <w:sz w:val="27"/>
          <w:szCs w:val="27"/>
          <w:u w:val="single"/>
          <w:lang w:eastAsia="fr-BE"/>
        </w:rPr>
        <w:t xml:space="preserve">16 OCTOBRE 2009. </w:t>
      </w:r>
      <w:bookmarkStart w:id="0" w:name="_GoBack"/>
      <w:r w:rsidRPr="0016774C">
        <w:rPr>
          <w:rFonts w:ascii="Times New Roman" w:eastAsia="Times New Roman" w:hAnsi="Times New Roman" w:cs="Times New Roman"/>
          <w:b/>
          <w:bCs/>
          <w:sz w:val="27"/>
          <w:szCs w:val="27"/>
          <w:u w:val="single"/>
          <w:lang w:eastAsia="fr-BE"/>
        </w:rPr>
        <w:t xml:space="preserve">- Loi accordant des pouvoirs au Roi en cas d'épidémie ou de pandémie de grippe </w:t>
      </w:r>
      <w:bookmarkEnd w:id="0"/>
    </w:p>
    <w:p w:rsidR="00EF7D34" w:rsidRDefault="0016774C" w:rsidP="0016774C">
      <w:r w:rsidRPr="0016774C">
        <w:rPr>
          <w:rFonts w:ascii="Times New Roman" w:eastAsia="Times New Roman" w:hAnsi="Times New Roman" w:cs="Times New Roman"/>
          <w:sz w:val="24"/>
          <w:szCs w:val="24"/>
          <w:lang w:eastAsia="fr-BE"/>
        </w:rPr>
        <w:br/>
      </w:r>
      <w:r w:rsidRPr="0016774C">
        <w:rPr>
          <w:rFonts w:ascii="Times New Roman" w:eastAsia="Times New Roman" w:hAnsi="Times New Roman" w:cs="Times New Roman"/>
          <w:sz w:val="24"/>
          <w:szCs w:val="24"/>
          <w:lang w:eastAsia="fr-BE"/>
        </w:rPr>
        <w:br/>
        <w:t>ALBERT II, Roi des Belges</w:t>
      </w:r>
      <w:proofErr w:type="gramStart"/>
      <w:r w:rsidRPr="0016774C">
        <w:rPr>
          <w:rFonts w:ascii="Times New Roman" w:eastAsia="Times New Roman" w:hAnsi="Times New Roman" w:cs="Times New Roman"/>
          <w:sz w:val="24"/>
          <w:szCs w:val="24"/>
          <w:lang w:eastAsia="fr-BE"/>
        </w:rPr>
        <w:t>,</w:t>
      </w:r>
      <w:proofErr w:type="gramEnd"/>
      <w:r w:rsidRPr="0016774C">
        <w:rPr>
          <w:rFonts w:ascii="Times New Roman" w:eastAsia="Times New Roman" w:hAnsi="Times New Roman" w:cs="Times New Roman"/>
          <w:sz w:val="24"/>
          <w:szCs w:val="24"/>
          <w:lang w:eastAsia="fr-BE"/>
        </w:rPr>
        <w:br/>
        <w:t>A tous, présents et à venir, Salut.</w:t>
      </w:r>
      <w:r w:rsidRPr="0016774C">
        <w:rPr>
          <w:rFonts w:ascii="Times New Roman" w:eastAsia="Times New Roman" w:hAnsi="Times New Roman" w:cs="Times New Roman"/>
          <w:sz w:val="24"/>
          <w:szCs w:val="24"/>
          <w:lang w:eastAsia="fr-BE"/>
        </w:rPr>
        <w:br/>
        <w:t>Les Chambres ont adopté et Nous sanctionnons ce qui suit.</w:t>
      </w:r>
      <w:r w:rsidRPr="0016774C">
        <w:rPr>
          <w:rFonts w:ascii="Times New Roman" w:eastAsia="Times New Roman" w:hAnsi="Times New Roman" w:cs="Times New Roman"/>
          <w:sz w:val="24"/>
          <w:szCs w:val="24"/>
          <w:lang w:eastAsia="fr-BE"/>
        </w:rPr>
        <w:br/>
        <w:t>Article 1</w:t>
      </w:r>
      <w:r w:rsidRPr="0016774C">
        <w:rPr>
          <w:rFonts w:ascii="Times New Roman" w:eastAsia="Times New Roman" w:hAnsi="Times New Roman" w:cs="Times New Roman"/>
          <w:sz w:val="24"/>
          <w:szCs w:val="24"/>
          <w:vertAlign w:val="superscript"/>
          <w:lang w:eastAsia="fr-BE"/>
        </w:rPr>
        <w:t>er</w:t>
      </w:r>
      <w:r w:rsidRPr="0016774C">
        <w:rPr>
          <w:rFonts w:ascii="Times New Roman" w:eastAsia="Times New Roman" w:hAnsi="Times New Roman" w:cs="Times New Roman"/>
          <w:sz w:val="24"/>
          <w:szCs w:val="24"/>
          <w:lang w:eastAsia="fr-BE"/>
        </w:rPr>
        <w:t>. La présente loi règle une matière visée à l'article 78 de la Constitution.</w:t>
      </w:r>
      <w:r w:rsidRPr="0016774C">
        <w:rPr>
          <w:rFonts w:ascii="Times New Roman" w:eastAsia="Times New Roman" w:hAnsi="Times New Roman" w:cs="Times New Roman"/>
          <w:sz w:val="24"/>
          <w:szCs w:val="24"/>
          <w:lang w:eastAsia="fr-BE"/>
        </w:rPr>
        <w:br/>
        <w:t>Art. 2. § 1. Afin de permettre à la Belgique de se préparer et de réagir à une épidémie ou une pandémie de grippe qui présenterait un risque particulier et grave pour la santé publique, le Roi peut, par arrêté délibéré en Conseil des ministres, prendre les mesures visées à l'article 3.</w:t>
      </w:r>
      <w:r w:rsidRPr="0016774C">
        <w:rPr>
          <w:rFonts w:ascii="Times New Roman" w:eastAsia="Times New Roman" w:hAnsi="Times New Roman" w:cs="Times New Roman"/>
          <w:sz w:val="24"/>
          <w:szCs w:val="24"/>
          <w:lang w:eastAsia="fr-BE"/>
        </w:rPr>
        <w:br/>
        <w:t>§ 2. Les mesures visées à l'article 3 ne peuvent entrer en vigueur qu'après la date de survenance d'une épidémie ou d'une pandémie de grippe, constatée par le Roi, par arrêté délibéré en Conseil des ministres, sur avis du Groupe de pilotage Gestion des risques visé dans l'annexe au protocole d'accord du 11 décembre 2006 entre le Gouvernement fédéral et les autorités visées aux articles 128, 130 et 135 de la Constitution concernant : Focal Point pour le Règlement sanitaire international.</w:t>
      </w:r>
      <w:r w:rsidRPr="0016774C">
        <w:rPr>
          <w:rFonts w:ascii="Times New Roman" w:eastAsia="Times New Roman" w:hAnsi="Times New Roman" w:cs="Times New Roman"/>
          <w:sz w:val="24"/>
          <w:szCs w:val="24"/>
          <w:lang w:eastAsia="fr-BE"/>
        </w:rPr>
        <w:br/>
        <w:t>Les mesures visées à l'article 3 entrent en vigueur au plus tard six mois après la publication de cette loi dans le Moniteur belge.</w:t>
      </w:r>
      <w:r w:rsidRPr="0016774C">
        <w:rPr>
          <w:rFonts w:ascii="Times New Roman" w:eastAsia="Times New Roman" w:hAnsi="Times New Roman" w:cs="Times New Roman"/>
          <w:sz w:val="24"/>
          <w:szCs w:val="24"/>
          <w:lang w:eastAsia="fr-BE"/>
        </w:rPr>
        <w:br/>
        <w:t>Le cas échéant, ces mesures peuvent avoir un effet rétroactif, lequel ne peut cependant être antérieur à la date constatée par le Roi conformément à l'alinéa 1</w:t>
      </w:r>
      <w:r w:rsidRPr="0016774C">
        <w:rPr>
          <w:rFonts w:ascii="Times New Roman" w:eastAsia="Times New Roman" w:hAnsi="Times New Roman" w:cs="Times New Roman"/>
          <w:sz w:val="24"/>
          <w:szCs w:val="24"/>
          <w:vertAlign w:val="superscript"/>
          <w:lang w:eastAsia="fr-BE"/>
        </w:rPr>
        <w:t>er</w:t>
      </w:r>
      <w:r w:rsidRPr="0016774C">
        <w:rPr>
          <w:rFonts w:ascii="Times New Roman" w:eastAsia="Times New Roman" w:hAnsi="Times New Roman" w:cs="Times New Roman"/>
          <w:sz w:val="24"/>
          <w:szCs w:val="24"/>
          <w:lang w:eastAsia="fr-BE"/>
        </w:rPr>
        <w:t>, ni au 30 avril 2009.</w:t>
      </w:r>
      <w:r w:rsidRPr="0016774C">
        <w:rPr>
          <w:rFonts w:ascii="Times New Roman" w:eastAsia="Times New Roman" w:hAnsi="Times New Roman" w:cs="Times New Roman"/>
          <w:sz w:val="24"/>
          <w:szCs w:val="24"/>
          <w:lang w:eastAsia="fr-BE"/>
        </w:rPr>
        <w:br/>
        <w:t>Art. 3. Le Roi peut, par arrêté délibéré en Conseil des ministres, prendre des mesures pour :</w:t>
      </w:r>
      <w:r w:rsidRPr="0016774C">
        <w:rPr>
          <w:rFonts w:ascii="Times New Roman" w:eastAsia="Times New Roman" w:hAnsi="Times New Roman" w:cs="Times New Roman"/>
          <w:sz w:val="24"/>
          <w:szCs w:val="24"/>
          <w:lang w:eastAsia="fr-BE"/>
        </w:rPr>
        <w:br/>
        <w:t>1° régler la distribution des médicaments;</w:t>
      </w:r>
      <w:r w:rsidRPr="0016774C">
        <w:rPr>
          <w:rFonts w:ascii="Times New Roman" w:eastAsia="Times New Roman" w:hAnsi="Times New Roman" w:cs="Times New Roman"/>
          <w:sz w:val="24"/>
          <w:szCs w:val="24"/>
          <w:lang w:eastAsia="fr-BE"/>
        </w:rPr>
        <w:br/>
        <w:t>2° régler la délivrance des médicaments par des médecins ou d'autres professionnels des soins de santé visés à l'arrêté royal n° 78 du 10 novembre 1967 relatif à l'exercice des professions des soins de santé;</w:t>
      </w:r>
      <w:r w:rsidRPr="0016774C">
        <w:rPr>
          <w:rFonts w:ascii="Times New Roman" w:eastAsia="Times New Roman" w:hAnsi="Times New Roman" w:cs="Times New Roman"/>
          <w:sz w:val="24"/>
          <w:szCs w:val="24"/>
          <w:lang w:eastAsia="fr-BE"/>
        </w:rPr>
        <w:br/>
        <w:t>3° déterminer le nombre maximum des dons de sang par an, après avis du Conseil Supérieur de la Santé;</w:t>
      </w:r>
      <w:r w:rsidRPr="0016774C">
        <w:rPr>
          <w:rFonts w:ascii="Times New Roman" w:eastAsia="Times New Roman" w:hAnsi="Times New Roman" w:cs="Times New Roman"/>
          <w:sz w:val="24"/>
          <w:szCs w:val="24"/>
          <w:lang w:eastAsia="fr-BE"/>
        </w:rPr>
        <w:br/>
        <w:t>4° étendre le système de réquisition au personnel - autre que les professionnels des soins de santé visés à l'article 9 de l'arrêté royal n° 78 précité - des hôpitaux, prestataires de soins, dispensateurs de soins, institutions et services qui, en ce qui concerne la législation organique, ne relèvent pas de la compétence des Communautés et Régions;</w:t>
      </w:r>
      <w:r w:rsidRPr="0016774C">
        <w:rPr>
          <w:rFonts w:ascii="Times New Roman" w:eastAsia="Times New Roman" w:hAnsi="Times New Roman" w:cs="Times New Roman"/>
          <w:sz w:val="24"/>
          <w:szCs w:val="24"/>
          <w:lang w:eastAsia="fr-BE"/>
        </w:rPr>
        <w:br/>
        <w:t>5° communiquer aux communes et aux provinces des informations de la banque de données fédérale des professionnels des soins de santé afin de garantir un fonctionnement efficace des points de contact local de soins;</w:t>
      </w:r>
      <w:r w:rsidRPr="0016774C">
        <w:rPr>
          <w:rFonts w:ascii="Times New Roman" w:eastAsia="Times New Roman" w:hAnsi="Times New Roman" w:cs="Times New Roman"/>
          <w:sz w:val="24"/>
          <w:szCs w:val="24"/>
          <w:lang w:eastAsia="fr-BE"/>
        </w:rPr>
        <w:br/>
        <w:t>6° prévenir et traiter toute situation qui pose problème en matière de santé publique, qui doit être réglée en urgence sous peine de péril grave, et dans le cadre strict de la pandémie ou de l'épidémie de grippe constatée par le Roi conformément à l'article 2.</w:t>
      </w:r>
      <w:r w:rsidRPr="0016774C">
        <w:rPr>
          <w:rFonts w:ascii="Times New Roman" w:eastAsia="Times New Roman" w:hAnsi="Times New Roman" w:cs="Times New Roman"/>
          <w:sz w:val="24"/>
          <w:szCs w:val="24"/>
          <w:lang w:eastAsia="fr-BE"/>
        </w:rPr>
        <w:br/>
        <w:t>Le Roi ne peut pas rendre la vaccination obligatoire en exécution de la présente loi.</w:t>
      </w:r>
      <w:r w:rsidRPr="0016774C">
        <w:rPr>
          <w:rFonts w:ascii="Times New Roman" w:eastAsia="Times New Roman" w:hAnsi="Times New Roman" w:cs="Times New Roman"/>
          <w:sz w:val="24"/>
          <w:szCs w:val="24"/>
          <w:lang w:eastAsia="fr-BE"/>
        </w:rPr>
        <w:br/>
      </w:r>
      <w:r w:rsidRPr="0016774C">
        <w:rPr>
          <w:rFonts w:ascii="Times New Roman" w:eastAsia="Times New Roman" w:hAnsi="Times New Roman" w:cs="Times New Roman"/>
          <w:sz w:val="24"/>
          <w:szCs w:val="24"/>
          <w:lang w:eastAsia="fr-BE"/>
        </w:rPr>
        <w:lastRenderedPageBreak/>
        <w:t>Les arrêtés prévus à l'alinéa premier peuvent abroger, compléter, modifier ou remplacer les dispositions légales en vigueur, même dans les matières qui sont expressément réservées à la loi par la Constitution.</w:t>
      </w:r>
      <w:r w:rsidRPr="0016774C">
        <w:rPr>
          <w:rFonts w:ascii="Times New Roman" w:eastAsia="Times New Roman" w:hAnsi="Times New Roman" w:cs="Times New Roman"/>
          <w:sz w:val="24"/>
          <w:szCs w:val="24"/>
          <w:lang w:eastAsia="fr-BE"/>
        </w:rPr>
        <w:br/>
        <w:t>Les arrêtés prévus au premier alinéa peuvent déterminer les sanctions administratives, civiles et pénales applicables à certaines infractions à ces arrêtés.</w:t>
      </w:r>
      <w:r w:rsidRPr="0016774C">
        <w:rPr>
          <w:rFonts w:ascii="Times New Roman" w:eastAsia="Times New Roman" w:hAnsi="Times New Roman" w:cs="Times New Roman"/>
          <w:sz w:val="24"/>
          <w:szCs w:val="24"/>
          <w:lang w:eastAsia="fr-BE"/>
        </w:rPr>
        <w:br/>
        <w:t>Les sanctions pénales ne peuvent comporter de peines supérieures à celles que la législation complétée, modifiée ou remplacée attache aux infractions en cause.</w:t>
      </w:r>
      <w:r w:rsidRPr="0016774C">
        <w:rPr>
          <w:rFonts w:ascii="Times New Roman" w:eastAsia="Times New Roman" w:hAnsi="Times New Roman" w:cs="Times New Roman"/>
          <w:sz w:val="24"/>
          <w:szCs w:val="24"/>
          <w:lang w:eastAsia="fr-BE"/>
        </w:rPr>
        <w:br/>
        <w:t>Les dispositions du livre Ier du Code pénal, y compris le chapitre VII et l'article 85, sont applicables aux sanctions pénales introduites par ces arrêtés.</w:t>
      </w:r>
      <w:r w:rsidRPr="0016774C">
        <w:rPr>
          <w:rFonts w:ascii="Times New Roman" w:eastAsia="Times New Roman" w:hAnsi="Times New Roman" w:cs="Times New Roman"/>
          <w:sz w:val="24"/>
          <w:szCs w:val="24"/>
          <w:lang w:eastAsia="fr-BE"/>
        </w:rPr>
        <w:br/>
        <w:t>Art. 4. Les arrêtés royaux visés à l'article 3 peuvent être adoptés sans que les avis légalement ou règlementairement requis soient préalablement recueillis. Le cas échéant, ces avis peuvent être recueillis dans un délai abrégé par rapport au délai légalement ou règlementairement requis.</w:t>
      </w:r>
      <w:r w:rsidRPr="0016774C">
        <w:rPr>
          <w:rFonts w:ascii="Times New Roman" w:eastAsia="Times New Roman" w:hAnsi="Times New Roman" w:cs="Times New Roman"/>
          <w:sz w:val="24"/>
          <w:szCs w:val="24"/>
          <w:lang w:eastAsia="fr-BE"/>
        </w:rPr>
        <w:br/>
        <w:t xml:space="preserve">Le premier alinéa ne s'applique pas </w:t>
      </w:r>
      <w:proofErr w:type="gramStart"/>
      <w:r w:rsidRPr="0016774C">
        <w:rPr>
          <w:rFonts w:ascii="Times New Roman" w:eastAsia="Times New Roman" w:hAnsi="Times New Roman" w:cs="Times New Roman"/>
          <w:sz w:val="24"/>
          <w:szCs w:val="24"/>
          <w:lang w:eastAsia="fr-BE"/>
        </w:rPr>
        <w:t>:</w:t>
      </w:r>
      <w:proofErr w:type="gramEnd"/>
      <w:r w:rsidRPr="0016774C">
        <w:rPr>
          <w:rFonts w:ascii="Times New Roman" w:eastAsia="Times New Roman" w:hAnsi="Times New Roman" w:cs="Times New Roman"/>
          <w:sz w:val="24"/>
          <w:szCs w:val="24"/>
          <w:lang w:eastAsia="fr-BE"/>
        </w:rPr>
        <w:br/>
        <w:t>1° aux avis de la section de législation du Conseil d'Etat;</w:t>
      </w:r>
      <w:r w:rsidRPr="0016774C">
        <w:rPr>
          <w:rFonts w:ascii="Times New Roman" w:eastAsia="Times New Roman" w:hAnsi="Times New Roman" w:cs="Times New Roman"/>
          <w:sz w:val="24"/>
          <w:szCs w:val="24"/>
          <w:lang w:eastAsia="fr-BE"/>
        </w:rPr>
        <w:br/>
        <w:t>2° aux avis de l'Inspection des Finances;</w:t>
      </w:r>
      <w:r w:rsidRPr="0016774C">
        <w:rPr>
          <w:rFonts w:ascii="Times New Roman" w:eastAsia="Times New Roman" w:hAnsi="Times New Roman" w:cs="Times New Roman"/>
          <w:sz w:val="24"/>
          <w:szCs w:val="24"/>
          <w:lang w:eastAsia="fr-BE"/>
        </w:rPr>
        <w:br/>
        <w:t>3° à l'avis du Conseil supérieur de la Santé visé à l'article 3, alinéa 1</w:t>
      </w:r>
      <w:r w:rsidRPr="0016774C">
        <w:rPr>
          <w:rFonts w:ascii="Times New Roman" w:eastAsia="Times New Roman" w:hAnsi="Times New Roman" w:cs="Times New Roman"/>
          <w:sz w:val="24"/>
          <w:szCs w:val="24"/>
          <w:vertAlign w:val="superscript"/>
          <w:lang w:eastAsia="fr-BE"/>
        </w:rPr>
        <w:t>er</w:t>
      </w:r>
      <w:r w:rsidRPr="0016774C">
        <w:rPr>
          <w:rFonts w:ascii="Times New Roman" w:eastAsia="Times New Roman" w:hAnsi="Times New Roman" w:cs="Times New Roman"/>
          <w:sz w:val="24"/>
          <w:szCs w:val="24"/>
          <w:lang w:eastAsia="fr-BE"/>
        </w:rPr>
        <w:t>, 3°.</w:t>
      </w:r>
      <w:r w:rsidRPr="0016774C">
        <w:rPr>
          <w:rFonts w:ascii="Times New Roman" w:eastAsia="Times New Roman" w:hAnsi="Times New Roman" w:cs="Times New Roman"/>
          <w:sz w:val="24"/>
          <w:szCs w:val="24"/>
          <w:lang w:eastAsia="fr-BE"/>
        </w:rPr>
        <w:br/>
        <w:t>Art. 5. § 1. L'habilitation conférée au Roi par la présente loi expire six mois après la publication de la présente loi au Moniteur belge et au plus tard le 31 juillet 2010.</w:t>
      </w:r>
      <w:r w:rsidRPr="0016774C">
        <w:rPr>
          <w:rFonts w:ascii="Times New Roman" w:eastAsia="Times New Roman" w:hAnsi="Times New Roman" w:cs="Times New Roman"/>
          <w:sz w:val="24"/>
          <w:szCs w:val="24"/>
          <w:lang w:eastAsia="fr-BE"/>
        </w:rPr>
        <w:br/>
        <w:t>§ 2. Les arrêtés royaux visés par cette loi doivent être confirmés par la loi dans un délai d'un an à partir de leur entrée en vigueur.</w:t>
      </w:r>
      <w:r w:rsidRPr="0016774C">
        <w:rPr>
          <w:rFonts w:ascii="Times New Roman" w:eastAsia="Times New Roman" w:hAnsi="Times New Roman" w:cs="Times New Roman"/>
          <w:sz w:val="24"/>
          <w:szCs w:val="24"/>
          <w:lang w:eastAsia="fr-BE"/>
        </w:rPr>
        <w:br/>
        <w:t>Les arrêtés royaux visés à l'article 3 sont réputés n'avoir jamais produit leurs effets s'ils ne sont pas confirmés dans le délai prévu à l'alinéa 1</w:t>
      </w:r>
      <w:r w:rsidRPr="0016774C">
        <w:rPr>
          <w:rFonts w:ascii="Times New Roman" w:eastAsia="Times New Roman" w:hAnsi="Times New Roman" w:cs="Times New Roman"/>
          <w:sz w:val="24"/>
          <w:szCs w:val="24"/>
          <w:vertAlign w:val="superscript"/>
          <w:lang w:eastAsia="fr-BE"/>
        </w:rPr>
        <w:t>er</w:t>
      </w:r>
      <w:r w:rsidRPr="0016774C">
        <w:rPr>
          <w:rFonts w:ascii="Times New Roman" w:eastAsia="Times New Roman" w:hAnsi="Times New Roman" w:cs="Times New Roman"/>
          <w:sz w:val="24"/>
          <w:szCs w:val="24"/>
          <w:lang w:eastAsia="fr-BE"/>
        </w:rPr>
        <w:t>.</w:t>
      </w:r>
      <w:r w:rsidRPr="0016774C">
        <w:rPr>
          <w:rFonts w:ascii="Times New Roman" w:eastAsia="Times New Roman" w:hAnsi="Times New Roman" w:cs="Times New Roman"/>
          <w:sz w:val="24"/>
          <w:szCs w:val="24"/>
          <w:lang w:eastAsia="fr-BE"/>
        </w:rPr>
        <w:br/>
        <w:t>Art. 6. La présente loi entre en vigueur le jour de sa publication au Moniteur belge.</w:t>
      </w:r>
      <w:r w:rsidRPr="0016774C">
        <w:rPr>
          <w:rFonts w:ascii="Times New Roman" w:eastAsia="Times New Roman" w:hAnsi="Times New Roman" w:cs="Times New Roman"/>
          <w:sz w:val="24"/>
          <w:szCs w:val="24"/>
          <w:lang w:eastAsia="fr-BE"/>
        </w:rPr>
        <w:br/>
        <w:t xml:space="preserve">Promulguons la présente loi, ordonnons qu'elle soit revêtue du sceau de l'Etat et publiée par le Moniteur belge. </w:t>
      </w:r>
      <w:r w:rsidRPr="0016774C">
        <w:rPr>
          <w:rFonts w:ascii="Times New Roman" w:eastAsia="Times New Roman" w:hAnsi="Times New Roman" w:cs="Times New Roman"/>
          <w:sz w:val="24"/>
          <w:szCs w:val="24"/>
          <w:lang w:eastAsia="fr-BE"/>
        </w:rPr>
        <w:br/>
        <w:t>Donné à Bruxelles, le 16 octobre 2009.</w:t>
      </w:r>
      <w:r w:rsidRPr="0016774C">
        <w:rPr>
          <w:rFonts w:ascii="Times New Roman" w:eastAsia="Times New Roman" w:hAnsi="Times New Roman" w:cs="Times New Roman"/>
          <w:sz w:val="24"/>
          <w:szCs w:val="24"/>
          <w:lang w:eastAsia="fr-BE"/>
        </w:rPr>
        <w:br/>
        <w:t>ALBERT</w:t>
      </w:r>
      <w:r w:rsidRPr="0016774C">
        <w:rPr>
          <w:rFonts w:ascii="Times New Roman" w:eastAsia="Times New Roman" w:hAnsi="Times New Roman" w:cs="Times New Roman"/>
          <w:sz w:val="24"/>
          <w:szCs w:val="24"/>
          <w:lang w:eastAsia="fr-BE"/>
        </w:rPr>
        <w:br/>
        <w:t>Par le Roi :</w:t>
      </w:r>
      <w:r w:rsidRPr="0016774C">
        <w:rPr>
          <w:rFonts w:ascii="Times New Roman" w:eastAsia="Times New Roman" w:hAnsi="Times New Roman" w:cs="Times New Roman"/>
          <w:sz w:val="24"/>
          <w:szCs w:val="24"/>
          <w:lang w:eastAsia="fr-BE"/>
        </w:rPr>
        <w:br/>
        <w:t>La Ministre des Affaires sociales et de la Santé publique,</w:t>
      </w:r>
      <w:r w:rsidRPr="0016774C">
        <w:rPr>
          <w:rFonts w:ascii="Times New Roman" w:eastAsia="Times New Roman" w:hAnsi="Times New Roman" w:cs="Times New Roman"/>
          <w:sz w:val="24"/>
          <w:szCs w:val="24"/>
          <w:lang w:eastAsia="fr-BE"/>
        </w:rPr>
        <w:br/>
        <w:t>chargée de l'Intégration sociale,</w:t>
      </w:r>
      <w:r w:rsidRPr="0016774C">
        <w:rPr>
          <w:rFonts w:ascii="Times New Roman" w:eastAsia="Times New Roman" w:hAnsi="Times New Roman" w:cs="Times New Roman"/>
          <w:sz w:val="24"/>
          <w:szCs w:val="24"/>
          <w:lang w:eastAsia="fr-BE"/>
        </w:rPr>
        <w:br/>
        <w:t>Mme L. ONKELINX</w:t>
      </w:r>
      <w:r w:rsidRPr="0016774C">
        <w:rPr>
          <w:rFonts w:ascii="Times New Roman" w:eastAsia="Times New Roman" w:hAnsi="Times New Roman" w:cs="Times New Roman"/>
          <w:sz w:val="24"/>
          <w:szCs w:val="24"/>
          <w:lang w:eastAsia="fr-BE"/>
        </w:rPr>
        <w:br/>
        <w:t>Scellé du sceau de l'Etat :</w:t>
      </w:r>
      <w:r w:rsidRPr="0016774C">
        <w:rPr>
          <w:rFonts w:ascii="Times New Roman" w:eastAsia="Times New Roman" w:hAnsi="Times New Roman" w:cs="Times New Roman"/>
          <w:sz w:val="24"/>
          <w:szCs w:val="24"/>
          <w:lang w:eastAsia="fr-BE"/>
        </w:rPr>
        <w:br/>
        <w:t xml:space="preserve">Le Ministre de la Justice, </w:t>
      </w:r>
      <w:r w:rsidRPr="0016774C">
        <w:rPr>
          <w:rFonts w:ascii="Times New Roman" w:eastAsia="Times New Roman" w:hAnsi="Times New Roman" w:cs="Times New Roman"/>
          <w:sz w:val="24"/>
          <w:szCs w:val="24"/>
          <w:lang w:eastAsia="fr-BE"/>
        </w:rPr>
        <w:br/>
        <w:t>S. DE CLERCK</w:t>
      </w:r>
      <w:r w:rsidRPr="0016774C">
        <w:rPr>
          <w:rFonts w:ascii="Times New Roman" w:eastAsia="Times New Roman" w:hAnsi="Times New Roman" w:cs="Times New Roman"/>
          <w:sz w:val="24"/>
          <w:szCs w:val="24"/>
          <w:lang w:eastAsia="fr-BE"/>
        </w:rPr>
        <w:br/>
        <w:t>_______</w:t>
      </w:r>
      <w:r w:rsidRPr="0016774C">
        <w:rPr>
          <w:rFonts w:ascii="Times New Roman" w:eastAsia="Times New Roman" w:hAnsi="Times New Roman" w:cs="Times New Roman"/>
          <w:sz w:val="24"/>
          <w:szCs w:val="24"/>
          <w:lang w:eastAsia="fr-BE"/>
        </w:rPr>
        <w:br/>
        <w:t>Note</w:t>
      </w:r>
      <w:r w:rsidRPr="0016774C">
        <w:rPr>
          <w:rFonts w:ascii="Times New Roman" w:eastAsia="Times New Roman" w:hAnsi="Times New Roman" w:cs="Times New Roman"/>
          <w:sz w:val="24"/>
          <w:szCs w:val="24"/>
          <w:lang w:eastAsia="fr-BE"/>
        </w:rPr>
        <w:br/>
        <w:t>(1) Session 2008-2009</w:t>
      </w:r>
      <w:r w:rsidRPr="0016774C">
        <w:rPr>
          <w:rFonts w:ascii="Times New Roman" w:eastAsia="Times New Roman" w:hAnsi="Times New Roman" w:cs="Times New Roman"/>
          <w:sz w:val="24"/>
          <w:szCs w:val="24"/>
          <w:lang w:eastAsia="fr-BE"/>
        </w:rPr>
        <w:br/>
        <w:t>Documents de la Chambre des représentants : 52-2156</w:t>
      </w:r>
      <w:r w:rsidRPr="0016774C">
        <w:rPr>
          <w:rFonts w:ascii="Times New Roman" w:eastAsia="Times New Roman" w:hAnsi="Times New Roman" w:cs="Times New Roman"/>
          <w:sz w:val="24"/>
          <w:szCs w:val="24"/>
          <w:lang w:eastAsia="fr-BE"/>
        </w:rPr>
        <w:br/>
        <w:t>001 : Projet de loi</w:t>
      </w:r>
      <w:r w:rsidRPr="0016774C">
        <w:rPr>
          <w:rFonts w:ascii="Times New Roman" w:eastAsia="Times New Roman" w:hAnsi="Times New Roman" w:cs="Times New Roman"/>
          <w:sz w:val="24"/>
          <w:szCs w:val="24"/>
          <w:lang w:eastAsia="fr-BE"/>
        </w:rPr>
        <w:br/>
        <w:t>002 : Rapport</w:t>
      </w:r>
      <w:r w:rsidRPr="0016774C">
        <w:rPr>
          <w:rFonts w:ascii="Times New Roman" w:eastAsia="Times New Roman" w:hAnsi="Times New Roman" w:cs="Times New Roman"/>
          <w:sz w:val="24"/>
          <w:szCs w:val="24"/>
          <w:lang w:eastAsia="fr-BE"/>
        </w:rPr>
        <w:br/>
        <w:t>003 : Texte corrigé par la Commission</w:t>
      </w:r>
      <w:r w:rsidRPr="0016774C">
        <w:rPr>
          <w:rFonts w:ascii="Times New Roman" w:eastAsia="Times New Roman" w:hAnsi="Times New Roman" w:cs="Times New Roman"/>
          <w:sz w:val="24"/>
          <w:szCs w:val="24"/>
          <w:lang w:eastAsia="fr-BE"/>
        </w:rPr>
        <w:br/>
        <w:t>004 : Amendements</w:t>
      </w:r>
      <w:r w:rsidRPr="0016774C">
        <w:rPr>
          <w:rFonts w:ascii="Times New Roman" w:eastAsia="Times New Roman" w:hAnsi="Times New Roman" w:cs="Times New Roman"/>
          <w:sz w:val="24"/>
          <w:szCs w:val="24"/>
          <w:lang w:eastAsia="fr-BE"/>
        </w:rPr>
        <w:br/>
        <w:t>005 : Rapport complémentaire</w:t>
      </w:r>
      <w:r w:rsidRPr="0016774C">
        <w:rPr>
          <w:rFonts w:ascii="Times New Roman" w:eastAsia="Times New Roman" w:hAnsi="Times New Roman" w:cs="Times New Roman"/>
          <w:sz w:val="24"/>
          <w:szCs w:val="24"/>
          <w:lang w:eastAsia="fr-BE"/>
        </w:rPr>
        <w:br/>
      </w:r>
      <w:r w:rsidRPr="0016774C">
        <w:rPr>
          <w:rFonts w:ascii="Times New Roman" w:eastAsia="Times New Roman" w:hAnsi="Times New Roman" w:cs="Times New Roman"/>
          <w:sz w:val="24"/>
          <w:szCs w:val="24"/>
          <w:lang w:eastAsia="fr-BE"/>
        </w:rPr>
        <w:lastRenderedPageBreak/>
        <w:t>006 : Texte adopté par le Commission</w:t>
      </w:r>
      <w:r w:rsidRPr="0016774C">
        <w:rPr>
          <w:rFonts w:ascii="Times New Roman" w:eastAsia="Times New Roman" w:hAnsi="Times New Roman" w:cs="Times New Roman"/>
          <w:sz w:val="24"/>
          <w:szCs w:val="24"/>
          <w:lang w:eastAsia="fr-BE"/>
        </w:rPr>
        <w:br/>
        <w:t xml:space="preserve">007 : Texte adopté en séance </w:t>
      </w:r>
      <w:proofErr w:type="spellStart"/>
      <w:r w:rsidRPr="0016774C">
        <w:rPr>
          <w:rFonts w:ascii="Times New Roman" w:eastAsia="Times New Roman" w:hAnsi="Times New Roman" w:cs="Times New Roman"/>
          <w:sz w:val="24"/>
          <w:szCs w:val="24"/>
          <w:lang w:eastAsia="fr-BE"/>
        </w:rPr>
        <w:t>pléniaire</w:t>
      </w:r>
      <w:proofErr w:type="spellEnd"/>
      <w:r w:rsidRPr="0016774C">
        <w:rPr>
          <w:rFonts w:ascii="Times New Roman" w:eastAsia="Times New Roman" w:hAnsi="Times New Roman" w:cs="Times New Roman"/>
          <w:sz w:val="24"/>
          <w:szCs w:val="24"/>
          <w:lang w:eastAsia="fr-BE"/>
        </w:rPr>
        <w:t xml:space="preserve"> et transmis au Sénat</w:t>
      </w:r>
      <w:r w:rsidRPr="0016774C">
        <w:rPr>
          <w:rFonts w:ascii="Times New Roman" w:eastAsia="Times New Roman" w:hAnsi="Times New Roman" w:cs="Times New Roman"/>
          <w:sz w:val="24"/>
          <w:szCs w:val="24"/>
          <w:lang w:eastAsia="fr-BE"/>
        </w:rPr>
        <w:br/>
        <w:t>Voir aussi :</w:t>
      </w:r>
      <w:r w:rsidRPr="0016774C">
        <w:rPr>
          <w:rFonts w:ascii="Times New Roman" w:eastAsia="Times New Roman" w:hAnsi="Times New Roman" w:cs="Times New Roman"/>
          <w:sz w:val="24"/>
          <w:szCs w:val="24"/>
          <w:lang w:eastAsia="fr-BE"/>
        </w:rPr>
        <w:br/>
      </w:r>
      <w:proofErr w:type="spellStart"/>
      <w:r w:rsidRPr="0016774C">
        <w:rPr>
          <w:rFonts w:ascii="Times New Roman" w:eastAsia="Times New Roman" w:hAnsi="Times New Roman" w:cs="Times New Roman"/>
          <w:sz w:val="24"/>
          <w:szCs w:val="24"/>
          <w:lang w:eastAsia="fr-BE"/>
        </w:rPr>
        <w:t>Compte-rendue</w:t>
      </w:r>
      <w:proofErr w:type="spellEnd"/>
      <w:r w:rsidRPr="0016774C">
        <w:rPr>
          <w:rFonts w:ascii="Times New Roman" w:eastAsia="Times New Roman" w:hAnsi="Times New Roman" w:cs="Times New Roman"/>
          <w:sz w:val="24"/>
          <w:szCs w:val="24"/>
          <w:lang w:eastAsia="fr-BE"/>
        </w:rPr>
        <w:t xml:space="preserve"> intégral : 15 octobre 2009</w:t>
      </w:r>
      <w:r w:rsidRPr="0016774C">
        <w:rPr>
          <w:rFonts w:ascii="Times New Roman" w:eastAsia="Times New Roman" w:hAnsi="Times New Roman" w:cs="Times New Roman"/>
          <w:sz w:val="24"/>
          <w:szCs w:val="24"/>
          <w:lang w:eastAsia="fr-BE"/>
        </w:rPr>
        <w:br/>
        <w:t>Documents du Sénat : 4-1454</w:t>
      </w:r>
      <w:r w:rsidRPr="0016774C">
        <w:rPr>
          <w:rFonts w:ascii="Times New Roman" w:eastAsia="Times New Roman" w:hAnsi="Times New Roman" w:cs="Times New Roman"/>
          <w:sz w:val="24"/>
          <w:szCs w:val="24"/>
          <w:lang w:eastAsia="fr-BE"/>
        </w:rPr>
        <w:br/>
        <w:t>4-1454/1 : Projet évoqué</w:t>
      </w:r>
      <w:r w:rsidRPr="0016774C">
        <w:rPr>
          <w:rFonts w:ascii="Times New Roman" w:eastAsia="Times New Roman" w:hAnsi="Times New Roman" w:cs="Times New Roman"/>
          <w:sz w:val="24"/>
          <w:szCs w:val="24"/>
          <w:lang w:eastAsia="fr-BE"/>
        </w:rPr>
        <w:br/>
        <w:t>4-1454/2 : Rapport</w:t>
      </w:r>
      <w:r w:rsidRPr="0016774C">
        <w:rPr>
          <w:rFonts w:ascii="Times New Roman" w:eastAsia="Times New Roman" w:hAnsi="Times New Roman" w:cs="Times New Roman"/>
          <w:sz w:val="24"/>
          <w:szCs w:val="24"/>
          <w:lang w:eastAsia="fr-BE"/>
        </w:rPr>
        <w:br/>
        <w:t>4-1454/3 : Décision de ne pas amender</w:t>
      </w:r>
      <w:r w:rsidRPr="0016774C">
        <w:rPr>
          <w:rFonts w:ascii="Times New Roman" w:eastAsia="Times New Roman" w:hAnsi="Times New Roman" w:cs="Times New Roman"/>
          <w:sz w:val="24"/>
          <w:szCs w:val="24"/>
          <w:lang w:eastAsia="fr-BE"/>
        </w:rPr>
        <w:br/>
        <w:t>Annales du Sénat : 16 octobre 2009</w:t>
      </w:r>
    </w:p>
    <w:sectPr w:rsidR="00EF7D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74C"/>
    <w:rsid w:val="0016774C"/>
    <w:rsid w:val="00EF7D3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3">
    <w:name w:val="heading 3"/>
    <w:basedOn w:val="Normal"/>
    <w:link w:val="Titre3Car"/>
    <w:uiPriority w:val="9"/>
    <w:qFormat/>
    <w:rsid w:val="0016774C"/>
    <w:pPr>
      <w:spacing w:before="100" w:beforeAutospacing="1" w:after="100" w:afterAutospacing="1" w:line="240" w:lineRule="auto"/>
      <w:outlineLvl w:val="2"/>
    </w:pPr>
    <w:rPr>
      <w:rFonts w:ascii="Times New Roman" w:eastAsia="Times New Roman" w:hAnsi="Times New Roman" w:cs="Times New Roman"/>
      <w:b/>
      <w:bCs/>
      <w:sz w:val="27"/>
      <w:szCs w:val="27"/>
      <w:lang w:eastAsia="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16774C"/>
    <w:rPr>
      <w:rFonts w:ascii="Times New Roman" w:eastAsia="Times New Roman" w:hAnsi="Times New Roman" w:cs="Times New Roman"/>
      <w:b/>
      <w:bCs/>
      <w:sz w:val="27"/>
      <w:szCs w:val="27"/>
      <w:lang w:eastAsia="fr-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3">
    <w:name w:val="heading 3"/>
    <w:basedOn w:val="Normal"/>
    <w:link w:val="Titre3Car"/>
    <w:uiPriority w:val="9"/>
    <w:qFormat/>
    <w:rsid w:val="0016774C"/>
    <w:pPr>
      <w:spacing w:before="100" w:beforeAutospacing="1" w:after="100" w:afterAutospacing="1" w:line="240" w:lineRule="auto"/>
      <w:outlineLvl w:val="2"/>
    </w:pPr>
    <w:rPr>
      <w:rFonts w:ascii="Times New Roman" w:eastAsia="Times New Roman" w:hAnsi="Times New Roman" w:cs="Times New Roman"/>
      <w:b/>
      <w:bCs/>
      <w:sz w:val="27"/>
      <w:szCs w:val="27"/>
      <w:lang w:eastAsia="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16774C"/>
    <w:rPr>
      <w:rFonts w:ascii="Times New Roman" w:eastAsia="Times New Roman" w:hAnsi="Times New Roman" w:cs="Times New Roman"/>
      <w:b/>
      <w:bCs/>
      <w:sz w:val="27"/>
      <w:szCs w:val="27"/>
      <w:lang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25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842</Words>
  <Characters>4633</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Colin</dc:creator>
  <cp:lastModifiedBy>Colin</cp:lastModifiedBy>
  <cp:revision>1</cp:revision>
  <dcterms:created xsi:type="dcterms:W3CDTF">2011-12-09T15:14:00Z</dcterms:created>
  <dcterms:modified xsi:type="dcterms:W3CDTF">2011-12-09T15:14:00Z</dcterms:modified>
</cp:coreProperties>
</file>